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1" w:type="dxa"/>
        <w:jc w:val="left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851"/>
      </w:tblGrid>
      <w:tr>
        <w:trPr/>
        <w:tc>
          <w:tcPr>
            <w:tcW w:w="9851" w:type="dxa"/>
            <w:tcBorders/>
            <w:shd w:color="auto" w:fill="auto" w:val="clear"/>
          </w:tcPr>
          <w:p>
            <w:pPr>
              <w:pStyle w:val="Header"/>
              <w:jc w:val="center"/>
              <w:rPr/>
            </w:pPr>
            <w:r>
              <w:rPr/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50.25pt;height:54pt;mso-wrap-distance-right:0pt" filled="t" fillcolor="#FFFFFF" o:ole="">
                  <v:imagedata r:id="rId3" o:title=""/>
                </v:shape>
                <o:OLEObject Type="Embed" ProgID="Word.Picture.8" ShapeID="ole_rId2" DrawAspect="Content" ObjectID="_1501100035" r:id="rId2"/>
              </w:object>
            </w:r>
          </w:p>
        </w:tc>
      </w:tr>
      <w:tr>
        <w:trPr/>
        <w:tc>
          <w:tcPr>
            <w:tcW w:w="985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rPr>
                <w:sz w:val="18"/>
              </w:rPr>
            </w:pPr>
            <w:r>
              <w:rPr/>
            </w:r>
          </w:p>
        </w:tc>
      </w:tr>
      <w:tr>
        <w:trPr/>
        <w:tc>
          <w:tcPr>
            <w:tcW w:w="985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153"/>
          <w:tab w:val="clear" w:pos="8306"/>
        </w:tabs>
        <w:ind w:firstLine="709"/>
        <w:rPr>
          <w:sz w:val="16"/>
        </w:rPr>
      </w:pPr>
      <w:r>
        <w:rPr>
          <w:sz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ind w:firstLine="709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2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10"/>
        <w:gridCol w:w="972"/>
        <w:gridCol w:w="1650"/>
        <w:gridCol w:w="2127"/>
        <w:gridCol w:w="1551"/>
        <w:gridCol w:w="1113"/>
      </w:tblGrid>
      <w:tr>
        <w:trPr/>
        <w:tc>
          <w:tcPr>
            <w:tcW w:w="23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28 </w:t>
            </w:r>
            <w:r>
              <w:rPr/>
              <w:t xml:space="preserve">мая </w:t>
            </w:r>
            <w:r>
              <w:rPr/>
              <w:t xml:space="preserve">2024 </w:t>
            </w:r>
            <w:r>
              <w:rPr/>
              <w:t>года</w:t>
            </w:r>
          </w:p>
        </w:tc>
        <w:tc>
          <w:tcPr>
            <w:tcW w:w="972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650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2127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551" w:type="dxa"/>
            <w:tcBorders/>
            <w:shd w:color="auto" w:fill="auto" w:val="clear"/>
          </w:tcPr>
          <w:p>
            <w:pPr>
              <w:pStyle w:val="Normal"/>
              <w:ind w:firstLine="709" w:left="-49"/>
              <w:jc w:val="right"/>
              <w:rPr/>
            </w:pPr>
            <w:r>
              <w:rPr/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tbl>
      <w:tblPr>
        <w:tblW w:w="4608" w:type="dxa"/>
        <w:jc w:val="left"/>
        <w:tblInd w:w="0" w:type="dxa"/>
        <w:tblLayout w:type="fixed"/>
        <w:tblCellMar>
          <w:top w:w="0" w:type="dxa"/>
          <w:left w:w="72" w:type="dxa"/>
          <w:bottom w:w="0" w:type="dxa"/>
          <w:right w:w="72" w:type="dxa"/>
        </w:tblCellMar>
        <w:tblLook w:firstRow="0" w:noVBand="0" w:lastRow="0" w:firstColumn="0" w:lastColumn="0" w:noHBand="0" w:val="0000"/>
      </w:tblPr>
      <w:tblGrid>
        <w:gridCol w:w="4608"/>
      </w:tblGrid>
      <w:tr>
        <w:trPr/>
        <w:tc>
          <w:tcPr>
            <w:tcW w:w="4608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Cs w:val="28"/>
              </w:rPr>
              <w:t>Об утверждении требований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на 2025 год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утверждении правил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услуг)»,</w:t>
      </w:r>
    </w:p>
    <w:p>
      <w:pPr>
        <w:pStyle w:val="Normal"/>
        <w:ind w:firstLine="709"/>
        <w:jc w:val="both"/>
        <w:rPr/>
      </w:pPr>
      <w:r>
        <w:rPr>
          <w:b/>
          <w:szCs w:val="28"/>
        </w:rPr>
        <w:t>п о с т а н о в л я ю: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firstLine="709" w:left="0"/>
        <w:jc w:val="both"/>
        <w:rPr/>
      </w:pPr>
      <w:r>
        <w:rPr>
          <w:szCs w:val="28"/>
        </w:rPr>
        <w:t>Утвердить требования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(далее – Ведомственный перечень):</w:t>
      </w:r>
    </w:p>
    <w:p>
      <w:pPr>
        <w:pStyle w:val="Normal"/>
        <w:ind w:firstLine="709"/>
        <w:jc w:val="both"/>
        <w:rPr/>
      </w:pPr>
      <w:r>
        <w:rPr>
          <w:szCs w:val="28"/>
        </w:rPr>
        <w:t>-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Совета депутатов Богородского муниципального округа Нижегородской области согласно приложению к настоящему постановлению.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Ведомственный перечень Совета депутатов Богородского муниципального округа Нижегородской области при планировании проекта бюджета на 2025 год и последующие годы.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Совету депутатов Богородского муниципального округа Нижегородской области использовать Ведомственный перечень при осуществлении закупок товаров, работ, услуг.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Обнародовать настоящее постановление в установленном порядке.</w:t>
      </w:r>
    </w:p>
    <w:p>
      <w:pPr>
        <w:pStyle w:val="Normal"/>
        <w:numPr>
          <w:ilvl w:val="0"/>
          <w:numId w:val="1"/>
        </w:numPr>
        <w:ind w:firstLine="709" w:left="0"/>
        <w:jc w:val="both"/>
        <w:rPr/>
      </w:pPr>
      <w:r>
        <w:rPr>
          <w:szCs w:val="28"/>
        </w:rPr>
        <w:t>Контроль за исполнением настоящего постановления возложить на руководителя контрактной службы Совета депутатов Богородского муниципального округа Нижегородской области.</w:t>
      </w:r>
    </w:p>
    <w:p>
      <w:pPr>
        <w:pStyle w:val="Normal"/>
        <w:spacing w:lineRule="auto" w:line="276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  <w:t xml:space="preserve">     </w:t>
      </w:r>
    </w:p>
    <w:p>
      <w:pPr>
        <w:pStyle w:val="Normal"/>
        <w:jc w:val="both"/>
        <w:rPr/>
      </w:pPr>
      <w:r>
        <w:rPr/>
        <w:t>Председатель Совета депутатов</w:t>
        <w:tab/>
        <w:tab/>
        <w:tab/>
        <w:tab/>
        <w:tab/>
        <w:t xml:space="preserve">     И.В.Санатова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/>
      </w:pPr>
      <w:r>
        <w:rPr>
          <w:sz w:val="24"/>
          <w:szCs w:val="24"/>
          <w:lang w:eastAsia="zh-CN"/>
        </w:rPr>
        <w:t>Овсянникова Наталья Алексеевна</w:t>
      </w:r>
    </w:p>
    <w:p>
      <w:pPr>
        <w:sectPr>
          <w:type w:val="nextPage"/>
          <w:pgSz w:w="11906" w:h="16838"/>
          <w:pgMar w:left="1701" w:right="851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sz w:val="24"/>
          <w:szCs w:val="24"/>
          <w:lang w:eastAsia="zh-CN"/>
        </w:rPr>
        <w:t>2-16-39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Приложение </w:t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>
      <w:pPr>
        <w:pStyle w:val="Normal"/>
        <w:ind w:left="10065"/>
        <w:jc w:val="center"/>
        <w:rPr/>
      </w:pPr>
      <w:r>
        <w:rPr>
          <w:szCs w:val="28"/>
        </w:rPr>
        <w:t>Совета депутатов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Богородского муниципального </w:t>
      </w:r>
    </w:p>
    <w:p>
      <w:pPr>
        <w:pStyle w:val="Normal"/>
        <w:ind w:left="10065"/>
        <w:jc w:val="center"/>
        <w:rPr/>
      </w:pPr>
      <w:r>
        <w:rPr>
          <w:szCs w:val="28"/>
        </w:rPr>
        <w:t>округа Нижегородской области</w:t>
      </w:r>
    </w:p>
    <w:p>
      <w:pPr>
        <w:pStyle w:val="Normal"/>
        <w:ind w:left="10065"/>
        <w:jc w:val="center"/>
        <w:rPr/>
      </w:pPr>
      <w:r>
        <w:rPr>
          <w:szCs w:val="28"/>
        </w:rPr>
        <w:t xml:space="preserve">от </w:t>
      </w:r>
      <w:r>
        <w:rPr/>
        <w:t xml:space="preserve">28 </w:t>
      </w:r>
      <w:r>
        <w:rPr/>
        <w:t xml:space="preserve">мая </w:t>
      </w:r>
      <w:r>
        <w:rPr/>
        <w:t xml:space="preserve">2024 </w:t>
      </w:r>
      <w:r>
        <w:rPr/>
        <w:t>года</w:t>
      </w:r>
      <w:r>
        <w:rPr>
          <w:szCs w:val="28"/>
        </w:rPr>
        <w:t xml:space="preserve"> № 1</w:t>
      </w:r>
    </w:p>
    <w:p>
      <w:pPr>
        <w:pStyle w:val="Normal"/>
        <w:ind w:left="522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522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540"/>
        <w:jc w:val="center"/>
        <w:rPr>
          <w:b/>
          <w:szCs w:val="28"/>
        </w:rPr>
      </w:pPr>
      <w:bookmarkStart w:id="0" w:name="P39"/>
      <w:bookmarkEnd w:id="0"/>
      <w:r>
        <w:rPr>
          <w:b/>
          <w:szCs w:val="28"/>
        </w:rPr>
        <w:t>ПЕРЕЧЕНЬ</w:t>
      </w:r>
    </w:p>
    <w:p>
      <w:pPr>
        <w:pStyle w:val="Normal"/>
        <w:ind w:firstLine="540"/>
        <w:jc w:val="center"/>
        <w:rPr>
          <w:b/>
          <w:szCs w:val="28"/>
        </w:rPr>
      </w:pPr>
      <w:r>
        <w:rPr>
          <w:b/>
          <w:szCs w:val="28"/>
        </w:rPr>
        <w:t>отдельных видов товаров, работ, услуг, их потребительские свойства</w:t>
      </w:r>
    </w:p>
    <w:p>
      <w:pPr>
        <w:pStyle w:val="Normal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качество) и иные характеристики (в том числе предельные цены товаров, работ, услуг) к ним </w:t>
      </w:r>
    </w:p>
    <w:p>
      <w:pPr>
        <w:pStyle w:val="Normal"/>
        <w:ind w:firstLine="540"/>
        <w:jc w:val="center"/>
        <w:rPr>
          <w:u w:val="single"/>
        </w:rPr>
      </w:pPr>
      <w:r>
        <w:rPr>
          <w:b/>
          <w:szCs w:val="28"/>
          <w:u w:val="single"/>
        </w:rPr>
        <w:t>Совета депутатов Богородского муниципального округа Нижегородской области на 2025 год</w:t>
      </w:r>
    </w:p>
    <w:p>
      <w:pPr>
        <w:pStyle w:val="Normal"/>
        <w:ind w:firstLine="540"/>
        <w:jc w:val="center"/>
        <w:rPr/>
      </w:pPr>
      <w:r>
        <w:rPr>
          <w:b/>
          <w:szCs w:val="28"/>
        </w:rPr>
        <w:t>(наименование муниципального орг</w:t>
      </w:r>
      <w:r>
        <w:rPr>
          <w:b/>
          <w:bCs/>
          <w:szCs w:val="28"/>
        </w:rPr>
        <w:t>а</w:t>
      </w:r>
      <w:r>
        <w:rPr>
          <w:b/>
          <w:bCs/>
        </w:rPr>
        <w:t>на)</w:t>
      </w:r>
    </w:p>
    <w:tbl>
      <w:tblPr>
        <w:tblW w:w="15558" w:type="dxa"/>
        <w:jc w:val="left"/>
        <w:tblInd w:w="-289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26"/>
        <w:gridCol w:w="823"/>
        <w:gridCol w:w="2230"/>
        <w:gridCol w:w="669"/>
        <w:gridCol w:w="1336"/>
        <w:gridCol w:w="2217"/>
        <w:gridCol w:w="1637"/>
        <w:gridCol w:w="14"/>
        <w:gridCol w:w="1554"/>
        <w:gridCol w:w="1637"/>
        <w:gridCol w:w="1556"/>
        <w:gridCol w:w="1557"/>
      </w:tblGrid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N п/п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Код по ОКПД2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pStyle w:val="ConsPlusNormal"/>
              <w:ind w:right="155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код по ОКЕИ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характеристика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значение характеристики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характеристика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значение характеристики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обоснование отклонения значения характеристики от утвержденной администрацией Богородского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функциональное назначение &lt;*&gt;</w:t>
            </w:r>
          </w:p>
        </w:tc>
      </w:tr>
      <w:tr>
        <w:trPr/>
        <w:tc>
          <w:tcPr>
            <w:tcW w:w="155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>
              <w:rPr>
                <w:rFonts w:eastAsia="Calibri" w:cs="Times New Roman" w:ascii="Times New Roman" w:hAnsi="Times New Roman"/>
                <w:sz w:val="20"/>
              </w:rPr>
              <w:t>территориальные органы</w:t>
            </w:r>
            <w:r>
              <w:rPr>
                <w:rFonts w:cs="Times New Roman" w:ascii="Times New Roman" w:hAnsi="Times New Roman"/>
                <w:sz w:val="20"/>
              </w:rPr>
              <w:t xml:space="preserve"> и подведомственные указанным органам  казенные,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 от ___ ___________ 201_ года N ___</w:t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</w:t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26.20.11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и тип экрана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и тип экрана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вес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вес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частота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частота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оперативной памяти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размер оперативной памяти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накопителя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накопителя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жесткого диска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жесткого диска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оптический привод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оптический привод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видеоадаптера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видеоадаптера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highlight w:val="yellow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ноутбук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ноутбук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26.30.11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устройства (телефон/смартфон)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устройства (телефон/смартфон)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поддерживаемые стандарты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поддерживаемые стандарты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SIM-карт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количество SIM-карт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29.10.22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29.10.23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29.10.24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Средства автотранспортные для перевозки людей прочие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рубль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31.01.11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(металл)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(металл)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8.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31.01.12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(вид древесины)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материал (вид древесины)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9.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49.32.11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такси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49.32.12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11.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61.20.11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тарификация услуги голосовой связи, доступа в информационно-телекоммуникационную сеть "Интернет"  (лимитная/ безлимитная)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12.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61.20.30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13.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61.20.42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ноутбуков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связи для планшетных компьютеров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14.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77.11.10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лошадиная сила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ind w:firstLine="540"/>
        <w:jc w:val="center"/>
        <w:rPr/>
      </w:pPr>
      <w:r>
        <w:rPr>
          <w:b/>
          <w:sz w:val="20"/>
        </w:rPr>
        <w:t>_________________________</w:t>
      </w:r>
    </w:p>
    <w:sectPr>
      <w:headerReference w:type="default" r:id="rId4"/>
      <w:footerReference w:type="default" r:id="rId5"/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31750" cy="173355"/>
              <wp:effectExtent l="0" t="0" r="0" b="0"/>
              <wp:wrapSquare wrapText="largest"/>
              <wp:docPr id="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6480" rIns="6480" t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fillcolor="white" stroked="f" o:allowincell="f" style="position:absolute;margin-left:785.2pt;margin-top:0.05pt;width:2.45pt;height:13.6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" name="Врезка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rIns="6480" t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" path="m0,0l-2147483645,0l-2147483645,-2147483646l0,-2147483646xe" stroked="f" o:allowincell="f" style="position:absolute;margin-left:361.3pt;margin-top:0.05pt;width:5.85pt;height:13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bidi="ar-SA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WW8Num2z0" w:customStyle="1">
    <w:name w:val="WW8Num2z0"/>
    <w:qFormat/>
    <w:rPr>
      <w:rFonts w:eastAsia="Arial"/>
      <w:sz w:val="28"/>
      <w:szCs w:val="28"/>
    </w:rPr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basedOn w:val="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0"/>
      <w:lang w:bidi="ar-SA" w:val="ru-RU" w:eastAsia="zh-CN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LibreOffice/7.6.0.3$Windows_X86_64 LibreOffice_project/69edd8b8ebc41d00b4de3915dc82f8f0fc3b6265</Application>
  <AppVersion>15.0000</AppVersion>
  <DocSecurity>0</DocSecurity>
  <Pages>11</Pages>
  <Words>1455</Words>
  <Characters>10829</Characters>
  <CharactersWithSpaces>12024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2019-12-30T11:14:00Z</dcterms:created>
  <dc:creator>Пользователь</dc:creator>
  <dc:description/>
  <dc:language>ru-RU</dc:language>
  <cp:lastModifiedBy/>
  <cp:lastPrinted>2024-05-28T13:29:29Z</cp:lastPrinted>
  <dcterms:modified xsi:type="dcterms:W3CDTF">2024-05-28T13:35:32Z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1049-11.2.0.10132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